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596B" w14:textId="2000F0D6" w:rsidR="0041565E" w:rsidRPr="00DB6084" w:rsidRDefault="0041565E" w:rsidP="00DB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510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Regimento Interno</w:t>
      </w:r>
      <w:r w:rsidRPr="00151054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do </w:t>
      </w:r>
      <w:r w:rsidRPr="001510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Comitê</w:t>
      </w:r>
      <w:r w:rsidRPr="00151054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de</w:t>
      </w:r>
      <w:r w:rsidRPr="001510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 xml:space="preserve"> Nomeação e</w:t>
      </w:r>
      <w:r w:rsidRPr="00151054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Governança</w:t>
      </w:r>
    </w:p>
    <w:p w14:paraId="65B161F3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CB98B7" w14:textId="3CBDA571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Conselho de Administração da 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Bioceres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Crop 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Solutions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Corp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 (doravante,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"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Bioceres</w:t>
      </w:r>
      <w:proofErr w:type="spellEnd"/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"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/ou 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"Companhia") desenvolveu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adotou </w:t>
      </w:r>
      <w:r w:rsidR="004E286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presente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2B5B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8E196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 que diz respeito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ao funcionamento e </w:t>
      </w:r>
      <w:r w:rsidR="0040103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às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responsabilidades d</w:t>
      </w:r>
      <w:r w:rsidR="0040103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 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Governança</w:t>
      </w:r>
      <w:r w:rsidR="0040103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 Companhia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(doravante, "</w:t>
      </w:r>
      <w:r w:rsidR="002B5B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").</w:t>
      </w:r>
    </w:p>
    <w:p w14:paraId="0A6D8986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ABDE12" w14:textId="6E820E94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 atribuições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 responsabilidades</w:t>
      </w:r>
      <w:r w:rsidR="00D51170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 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Nomeação e Governança são as seguintes: (i)  identificar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recomendar pessoas qualificadas e aptas a exercer</w:t>
      </w:r>
      <w:r w:rsidR="00F7620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</w:t>
      </w:r>
      <w:r w:rsidR="00F7620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cargo</w:t>
      </w:r>
      <w:r w:rsidR="00F7620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762865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Conselheiros</w:t>
      </w:r>
      <w:r w:rsidR="00762865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da</w:t>
      </w:r>
      <w:r w:rsidR="005937D1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Companhia;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</w:t>
      </w:r>
      <w:proofErr w:type="spellEnd"/>
      <w:r w:rsidRPr="00473774">
        <w:rPr>
          <w:rFonts w:ascii="Times New Roman" w:hAnsi="Times New Roman" w:cs="Times New Roman"/>
          <w:sz w:val="24"/>
          <w:szCs w:val="24"/>
          <w:lang w:val="pt"/>
        </w:rPr>
        <w:t>)</w:t>
      </w:r>
      <w:r w:rsidR="005937D1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identificar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recomendar pessoas qualificadas e elegíveis para o exercício da Diretoria (conforme definido a</w:t>
      </w:r>
      <w:r w:rsidR="0075655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baixo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da Companhia;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iii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 determinar os critérios aplicáveis à  seleção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candidatos  qualificados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para o cargo  de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Conselheiros e Diretores;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iv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)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recomendar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4E49E1">
        <w:rPr>
          <w:rFonts w:ascii="Times New Roman" w:hAnsi="Times New Roman" w:cs="Times New Roman"/>
          <w:sz w:val="24"/>
          <w:szCs w:val="24"/>
          <w:lang w:val="pt"/>
        </w:rPr>
        <w:t>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membros do Conselho de Administração </w:t>
      </w:r>
      <w:r w:rsidR="00725C8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para </w:t>
      </w:r>
      <w:r w:rsidR="005B0D9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integrar</w:t>
      </w:r>
      <w:r w:rsidR="00725C8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em</w:t>
      </w:r>
      <w:r w:rsidR="005937D1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os diversos Comitês da Companhia, bem como recomendar a </w:t>
      </w:r>
      <w:r w:rsidR="0014350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sua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destituição</w:t>
      </w:r>
      <w:r w:rsidR="00303D3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destes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; (v) recomendar ao Conselho de Administração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="00303D3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Companhia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implementação das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Diretrizes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Governança; (vi) rever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  independência ou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falta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independência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dos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membros do Conselho de Administração, </w:t>
      </w:r>
      <w:r w:rsidR="001670D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consoante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 normas aplicáveis em vigor;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vii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</w:t>
      </w:r>
      <w:r w:rsidR="00DF264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acompanhar a autoavaliação </w:t>
      </w:r>
      <w:r w:rsidR="00BC326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conduzi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da pelo Conselho de Administração e por cada um dos Comitês da Companhia; e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viii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 acompanhar 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avaliação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desempenho</w:t>
      </w:r>
      <w:r w:rsidR="00A725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dos Diretores</w:t>
      </w:r>
      <w:r w:rsidR="00A725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realizada pelo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Comitê</w:t>
      </w:r>
      <w:r w:rsidR="00A7254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Remuneração.</w:t>
      </w:r>
    </w:p>
    <w:p w14:paraId="0772838B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7327A9" w14:textId="15AD2BE1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 xml:space="preserve">1.  </w:t>
      </w:r>
      <w:r w:rsidRPr="00A96DA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Composição</w:t>
      </w:r>
      <w:r w:rsidRPr="00A96DA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e</w:t>
      </w: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 xml:space="preserve"> Funcionamento do 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de Nomeação e Governança</w:t>
      </w:r>
    </w:p>
    <w:p w14:paraId="11A54126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C57767" w14:textId="4F2D2304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1.1. </w:t>
      </w:r>
      <w:r w:rsidRPr="00D04AA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Composição</w:t>
      </w:r>
    </w:p>
    <w:p w14:paraId="62B39329" w14:textId="659A4535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Nomeação e Governança funcionará como órgão e será composto por 3 (três) conselheiros efetivos, indicados pelo Conselho de Administração dentre seus membros por maioria simples de votos.</w:t>
      </w:r>
    </w:p>
    <w:p w14:paraId="0795496B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218535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1.2. </w:t>
      </w:r>
      <w:r w:rsidRPr="00D04AA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Funcionamento</w:t>
      </w:r>
    </w:p>
    <w:p w14:paraId="1776AD70" w14:textId="76CE0F50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Comité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Nomeação e Governa</w:t>
      </w:r>
      <w:r w:rsidR="007A59F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nça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nomeará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na sua primeira sessão, um Presidente</w:t>
      </w:r>
      <w:r w:rsidR="006C0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 um Vice-Presidente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que substituir</w:t>
      </w:r>
      <w:r w:rsidR="006E744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ão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 Presidente em caso de ausência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impedimento,</w:t>
      </w:r>
      <w:r w:rsidR="006C0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incapacidade ou morte.</w:t>
      </w:r>
    </w:p>
    <w:p w14:paraId="325A6E02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678C01" w14:textId="66E65088" w:rsidR="0041565E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</w:t>
      </w:r>
      <w:r w:rsidR="0087548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Nomeação e Governa</w:t>
      </w:r>
      <w:r w:rsidR="00DF2B5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ç</w:t>
      </w:r>
      <w:r w:rsidR="00DF2B5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reunir-se-á pelo menos três vezes por ano</w:t>
      </w:r>
      <w:r w:rsidR="00413A4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ou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413A4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menos frequentemente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</w:t>
      </w:r>
      <w:r w:rsidR="00AE2BD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pedido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qualquer um de seus membros. </w:t>
      </w:r>
      <w:r w:rsidR="00D9678D" w:rsidRPr="00473774">
        <w:rPr>
          <w:rFonts w:ascii="Times New Roman" w:hAnsi="Times New Roman" w:cs="Times New Roman"/>
          <w:sz w:val="24"/>
          <w:szCs w:val="24"/>
          <w:lang w:val="pt"/>
        </w:rPr>
        <w:t>As reuniões</w:t>
      </w:r>
      <w:r w:rsidR="00D9678D">
        <w:rPr>
          <w:rFonts w:ascii="Times New Roman" w:hAnsi="Times New Roman" w:cs="Times New Roman"/>
          <w:sz w:val="24"/>
          <w:szCs w:val="24"/>
          <w:lang w:val="pt"/>
        </w:rPr>
        <w:t xml:space="preserve"> do</w:t>
      </w:r>
      <w:r w:rsidR="00D9678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 Nomeação e Governança</w:t>
      </w:r>
      <w:r w:rsidR="00813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serão convocadas pelo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CC5A13">
        <w:rPr>
          <w:rFonts w:ascii="Times New Roman" w:hAnsi="Times New Roman" w:cs="Times New Roman"/>
          <w:sz w:val="24"/>
          <w:szCs w:val="24"/>
          <w:lang w:val="pt"/>
        </w:rPr>
        <w:t>P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residente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ou </w:t>
      </w:r>
      <w:r w:rsidR="00CC5A1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V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ice-</w:t>
      </w:r>
      <w:r w:rsidR="00CC5A1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residente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consoante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caso, mediante as devidas notificações a cada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membro ordinário,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que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serão dirigidas aos domicílios </w:t>
      </w:r>
      <w:r w:rsidR="00EC42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informados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 Companhia por ocasião da aceitação do </w:t>
      </w:r>
      <w:r w:rsidR="00FC28B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respectivo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cargo. O aviso de reunião</w:t>
      </w:r>
      <w:r w:rsidR="00A253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deverá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ser atendido com antecedência mínima de 72 (setenta e duas) horas. O 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Governança pode funcionar com a presença da maioria absoluta</w:t>
      </w:r>
      <w:r w:rsidR="00F8782D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seus membros, pessoalmente e/ou por meio de mídia de forma simultânea </w:t>
      </w:r>
      <w:r w:rsidR="004424E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transmissão de som, imagens ou palavras. As decisões s</w:t>
      </w:r>
      <w:r w:rsidR="00EB3BA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erã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adotadas p</w:t>
      </w:r>
      <w:r w:rsidR="0040268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elo voto da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maioria</w:t>
      </w:r>
      <w:r w:rsidR="00F878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dos membros presentes </w:t>
      </w:r>
      <w:r w:rsidR="0040268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reunião. Em caso de empate, o voto do </w:t>
      </w:r>
      <w:r w:rsidR="005D571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residente</w:t>
      </w:r>
      <w:r w:rsidR="00F878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ou o Vice-Presidente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50770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caso este estiver atuando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em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substituição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 primeiro, decidirá. Em caso de ausência</w:t>
      </w:r>
      <w:r w:rsidR="00F878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 qualquer </w:t>
      </w:r>
      <w:r w:rsidR="001625A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um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dos seus membros,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membro suplente</w:t>
      </w:r>
      <w:r w:rsidR="001C291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substit</w:t>
      </w:r>
      <w:r w:rsidR="001C291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uirá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 As deliberações adotadas pelo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 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Governança deverão ser registradas no livro correspondente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 assinadas por todos os membros presentes </w:t>
      </w:r>
      <w:r w:rsidR="0015420D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reunião. Todos os demais membros do Conselho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poderão assistir às deliberações 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 Nomeação e Governança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direito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palavra, mas não a voto. </w:t>
      </w:r>
    </w:p>
    <w:p w14:paraId="200AA52F" w14:textId="77777777" w:rsidR="00783DAB" w:rsidRPr="00473774" w:rsidRDefault="00783DAB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276E26" w14:textId="10C08735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 ações propostas pelo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Nomeação e Governança serão submetidas à apreciação 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Conselho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Administração, informando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previamente ao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Presidente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 Conselho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para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 devida inclusão na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ordem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dia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correspondente.</w:t>
      </w:r>
    </w:p>
    <w:p w14:paraId="1359A3AA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B9ACA7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1.3. </w:t>
      </w:r>
      <w:r w:rsidRPr="003E1D6F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Duração do mandato</w:t>
      </w:r>
    </w:p>
    <w:p w14:paraId="49E434F5" w14:textId="5B11629C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Os membros do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Nomeação e Governança exercerão suas funções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pelo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prazo fixado pelo Conselho de Administração no momento de sua nomeação,</w:t>
      </w:r>
      <w:r w:rsidR="0087548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podendo ser reeleitos por tempo indeterminado. Findo o seu mandato, os membros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Comité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Nomeação e de Governa</w:t>
      </w:r>
      <w:r w:rsidR="007E290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ç</w:t>
      </w:r>
      <w:r w:rsidR="007E2902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continuarão a exercer funções até à 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dos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seus sucessores.</w:t>
      </w:r>
      <w:r w:rsidR="00292AC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Qualquer conselheiro que perder sua capacidade como tal, por qualquer motivo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,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será automaticamente removido do Comitê de Nomeação e Governança.</w:t>
      </w:r>
    </w:p>
    <w:p w14:paraId="4D6CA12A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D07225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1.4. </w:t>
      </w:r>
      <w:r w:rsidRPr="00321273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val="pt"/>
        </w:rPr>
        <w:t>Orçamento</w:t>
      </w:r>
    </w:p>
    <w:p w14:paraId="055849D2" w14:textId="5570DF39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</w:t>
      </w:r>
      <w:r w:rsidR="0076350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tem o poder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que considere necessário ou adequado</w:t>
      </w:r>
      <w:r w:rsidR="00F36BEE">
        <w:rPr>
          <w:rFonts w:ascii="Times New Roman" w:hAnsi="Times New Roman" w:cs="Times New Roman"/>
          <w:sz w:val="24"/>
          <w:szCs w:val="24"/>
          <w:lang w:val="pt"/>
        </w:rPr>
        <w:t xml:space="preserve"> para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contratar consultores, peritos e outros profissionais independentes para selecionar os candidatos aos cargos de </w:t>
      </w:r>
      <w:r w:rsidR="002752F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e/ou Diretor </w:t>
      </w:r>
      <w:r w:rsidR="003B2F2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Executivo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da Companhia. Para tanto,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Assembleia Geral Ordinária da Companhia aprovará orçamento para 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Nomeação e Governança</w:t>
      </w:r>
      <w:r w:rsidR="00DD444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que disporá sobre a possibilidade de tais custos e</w:t>
      </w:r>
      <w:r w:rsidR="0085028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quaisquer outras despesas que venham a ser previstas para o cumprimento de suas atribuições. </w:t>
      </w:r>
      <w:r w:rsidR="00105F85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montante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</w:t>
      </w:r>
      <w:r w:rsidR="007217C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7217C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referid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orçamento será proposto à Assembleia Geral Ordinária pelo Conselho de Administração (que</w:t>
      </w:r>
      <w:r w:rsidR="00D82D3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envolverá, para 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seu cálculo, 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 de Nomeação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Governança </w:t>
      </w:r>
      <w:r w:rsidR="001B475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exercício anterior), com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detalhamento das retenções e de quaisquer </w:t>
      </w:r>
      <w:r w:rsidR="00E57BB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utras despesas p</w:t>
      </w:r>
      <w:r w:rsidR="0054625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revistas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651D6594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14BEDA" w14:textId="3D642321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2. Validade</w:t>
      </w:r>
    </w:p>
    <w:p w14:paraId="45A480BB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85CE35" w14:textId="20842559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2.1. A presente Carta entra em vigor na data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d</w:t>
      </w:r>
      <w:r w:rsidR="00EF60C6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sua adopção pelo Conselho de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Administração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da</w:t>
      </w:r>
      <w:r w:rsidR="00D82D3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Diretores (doravante, a "Data de Vigência ").</w:t>
      </w:r>
    </w:p>
    <w:p w14:paraId="79C95F90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F5A416" w14:textId="2220F340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2.2. O Regimento Interno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do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Comitê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Nomeação e Governança estará disponível no site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Companhia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FF"/>
          <w:kern w:val="0"/>
          <w:sz w:val="24"/>
          <w:szCs w:val="24"/>
          <w:lang w:val="pt"/>
        </w:rPr>
        <w:t>www.biocerescrops.com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partir da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Data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 Vigência.</w:t>
      </w:r>
    </w:p>
    <w:p w14:paraId="172EDB72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A4ACDE" w14:textId="7BA571E3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3.  Deveres e Responsabilidades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do Comitê</w:t>
      </w:r>
    </w:p>
    <w:p w14:paraId="150F0AA0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88A86D" w14:textId="6069563D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São atribuições e responsabilidades do Comitê:</w:t>
      </w:r>
    </w:p>
    <w:p w14:paraId="0671A94A" w14:textId="7777777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9B40F7" w14:textId="78F18399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Formular, periodicamente, recomendações ao Conselho de Administração quanto a quaisquer mudanças que o Comitê julgue necessárias ou desejáveis em relação </w:t>
      </w:r>
      <w:r w:rsidRPr="009809F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ao</w:t>
      </w:r>
      <w:r w:rsidR="0047534F" w:rsidRPr="009809FB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número de membros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 Conselho de Administração ou de qualquer Comitê.</w:t>
      </w:r>
    </w:p>
    <w:p w14:paraId="77A9780A" w14:textId="6F7D10D3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Identificar pessoas qualificadas para se tornarem membros do Conselho de Administração e recomendar ao Conselho os indicados para concorrer à eleição de conselheiros na Assembleia Geral Ordinária. No caso de vacância no cargo de </w:t>
      </w:r>
      <w:r w:rsidR="00163243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conselheiro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(incluindo </w:t>
      </w:r>
      <w:r w:rsidR="00C81B5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surgimento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vaga em decorrência de um aumento no tamanho do Conselho de Administração), o Comitê recomendará ao Conselho uma pessoa para preencher tal vaga. Ao indicar candidatos, o Comitê levará em consideração as habilidades, a diversidade, a experiência</w:t>
      </w:r>
      <w:r w:rsidR="000E609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profissional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em outras organizações de tamanho </w:t>
      </w:r>
      <w:r w:rsidR="006C02D0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análogo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a interação do candidato com a experiência de outros membros do Conselho e o Comitê fornecerá seu parecer sobre porque considera o candidato proposto </w:t>
      </w:r>
      <w:r w:rsidR="00E839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como uma adição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desejável para o Conselho de Administração e seus Comitês. O Comitê poderá considerar candidatos propostos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lastRenderedPageBreak/>
        <w:t>pela administração e pela Diretoria da Companhia, mas não está obrigado a fazê-lo.</w:t>
      </w:r>
    </w:p>
    <w:p w14:paraId="38F804CC" w14:textId="77777777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Elaborar e recomendar ao Conselho de Administração as normas a serem aplicadas na formulação de recomendações de futuros candidatos ao cargo de Diretor da Companhia para a Assembleia Geral Ordinária.</w:t>
      </w:r>
    </w:p>
    <w:p w14:paraId="2B06EC93" w14:textId="09D4C489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Identificar os membros do Conselho qualificados para atuar em qualquer Comitê do Conselho de Administração (incluindo o Comitê de Nomeação e Governança) e recomendar que o Conselho indique o(s) membro(s) identificado(s) para o respectivo comitê. Ao nomear um candidato </w:t>
      </w:r>
      <w:r w:rsidR="006C2DE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membro, o Comitê levará em consideração os fatores que julgar apropriados, incluindo, sem limitação, (i) as leis aplicáveis em vigor e as regras do mercado de valores mobiliários,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a coerência entre a experiência do candidato e os objetivos do Comitê, e (</w:t>
      </w:r>
      <w:proofErr w:type="spellStart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iii</w:t>
      </w:r>
      <w:proofErr w:type="spellEnd"/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) a inter-relação entre a experiência do candidato e a experiência de outros membros do Comitê.</w:t>
      </w:r>
    </w:p>
    <w:p w14:paraId="7AB807B2" w14:textId="3D357637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Revisar e recomendar, quando apropriado, programas de educação continuada para os membros do Conselho de Administração e dos diferentes Comitês.</w:t>
      </w:r>
    </w:p>
    <w:p w14:paraId="5FFE6DE3" w14:textId="110C1445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Identificar as pessoas habilitadas a se tornarem </w:t>
      </w:r>
      <w:r w:rsidRPr="001062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diretores</w:t>
      </w:r>
      <w:r w:rsidR="0031422A" w:rsidRPr="001062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executivos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da Companhia e recomend</w:t>
      </w:r>
      <w:r w:rsidR="001062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á-las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ao Conselho de Administração para </w:t>
      </w:r>
      <w:r w:rsidR="001062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que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concorr</w:t>
      </w:r>
      <w:r w:rsidR="0010624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am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à eleição da diretoria da Companhia. Em caso de vacância no cargo de diretor, o Comitê recomendará ao Conselho uma pessoa para preencher </w:t>
      </w:r>
      <w:r w:rsidR="004A453F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tal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vaga. Ao indicar candidatos, o Comitê levará em consideração as habilidades, </w:t>
      </w:r>
      <w:r w:rsidR="00955C8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formação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a diversidade, a experiência empresarial em outras organizações de porte </w:t>
      </w:r>
      <w:r w:rsidR="00A65EAA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análogo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, a interação do candidato com a experiência de outros Diretores e o Comitê emitirá seu parecer sobre porque considera o candidato proposto </w:t>
      </w:r>
      <w:r w:rsidR="00D67CB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como um acréscimo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desejável para a Companhia.</w:t>
      </w:r>
    </w:p>
    <w:p w14:paraId="3677FB0E" w14:textId="47E6D4DA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Supervisionar </w:t>
      </w:r>
      <w:r w:rsidR="00263BB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condução das </w:t>
      </w:r>
      <w:r w:rsidR="00263BB4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autoavaliações anuais</w:t>
      </w:r>
      <w:r w:rsidR="00263BB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Conselho de Administração e </w:t>
      </w:r>
      <w:r w:rsidR="00263BB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os diferentes Comitês da Companhia.</w:t>
      </w:r>
    </w:p>
    <w:p w14:paraId="09B0975C" w14:textId="0EECA9E6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Supervisionar </w:t>
      </w:r>
      <w:r w:rsidR="00412A6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a condução </w:t>
      </w:r>
      <w:r w:rsidR="001C4E3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</w:t>
      </w:r>
      <w:r w:rsidR="001C4E38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as avaliações de desempenh</w:t>
      </w:r>
      <w:r w:rsidR="00CB7CE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="001C4E38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dos diretores e administradores da Companhia</w:t>
      </w:r>
      <w:r w:rsidR="00CB7CE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1C4E38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pel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 Comitê de Remuneração.</w:t>
      </w:r>
    </w:p>
    <w:p w14:paraId="7A208929" w14:textId="77777777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Informar ao Conselho de Administração sua avaliação sobre o processo de autoavaliação de cada um dos Comitês do Conselho.</w:t>
      </w:r>
    </w:p>
    <w:p w14:paraId="4E766E62" w14:textId="57A34099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Submeter ao Conselho de Administração a autoavaliação de desempenho do Comitê de Nomeação e Governança 60 (sessenta) dias após o término do exercício</w:t>
      </w:r>
      <w:r w:rsidR="00E15A6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 ano fiscal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6DDA1CC5" w14:textId="5B6B1AA6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Desenvolver e recomendar ao Conselho de Administração um conjunto de princípios de governança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corporativa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aplicáveis à Companhia</w:t>
      </w:r>
      <w:r w:rsidR="00B55E1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 bem como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revisá-los e, se o Comitê julgar apropriado, recomendar quaisquer mudanças nas Diretrizes de Governança do Conselho de Administração.</w:t>
      </w:r>
    </w:p>
    <w:p w14:paraId="13969D9B" w14:textId="27FB5E2D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Revisar e avaliar a conformidade da Companhia com os requisitos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de governança corporativa estabelecidos pela </w:t>
      </w:r>
      <w:proofErr w:type="spellStart"/>
      <w:r w:rsidR="005A3719">
        <w:rPr>
          <w:rFonts w:ascii="Times New Roman" w:hAnsi="Times New Roman" w:cs="Times New Roman"/>
          <w:sz w:val="24"/>
          <w:szCs w:val="24"/>
          <w:lang w:val="pt"/>
        </w:rPr>
        <w:t>Securities</w:t>
      </w:r>
      <w:proofErr w:type="spellEnd"/>
      <w:r w:rsidR="005A371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5A3719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="005A3719">
        <w:rPr>
          <w:rFonts w:ascii="Times New Roman" w:hAnsi="Times New Roman" w:cs="Times New Roman"/>
          <w:sz w:val="24"/>
          <w:szCs w:val="24"/>
          <w:lang w:val="pt"/>
        </w:rPr>
        <w:t xml:space="preserve"> Exchange </w:t>
      </w:r>
      <w:proofErr w:type="spellStart"/>
      <w:r w:rsidR="005A3719">
        <w:rPr>
          <w:rFonts w:ascii="Times New Roman" w:hAnsi="Times New Roman" w:cs="Times New Roman"/>
          <w:sz w:val="24"/>
          <w:szCs w:val="24"/>
          <w:lang w:val="pt"/>
        </w:rPr>
        <w:t>Comission</w:t>
      </w:r>
      <w:proofErr w:type="spellEnd"/>
      <w:r w:rsidR="005A3719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dos EUA e pela Bolsa de Valores de Nova York</w:t>
      </w:r>
      <w:r w:rsidR="005A3719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, bem como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outras leis e regulamentos aplicáveis relacionados à governança corporativa.</w:t>
      </w:r>
    </w:p>
    <w:p w14:paraId="7F36B89A" w14:textId="77777777" w:rsidR="0052664C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Revisar e fazer recomendações sobre a estrutura e as funções dos Comitês do Conselho, após consulta aos respectivos Presidentes dos Comitês.</w:t>
      </w:r>
    </w:p>
    <w:p w14:paraId="44FE9AF5" w14:textId="2D120FD4" w:rsidR="0052664C" w:rsidRPr="00473774" w:rsidRDefault="0041565E" w:rsidP="005266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Recomendar </w:t>
      </w:r>
      <w:r w:rsidR="00E335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periodicamente</w:t>
      </w:r>
      <w:r w:rsidR="00E33574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ao Conselho de Administração ações adicionais relacionadas a questões de governança corporativa que o Comitê julgar necessárias ou aconselháveis.</w:t>
      </w:r>
    </w:p>
    <w:p w14:paraId="7272791D" w14:textId="0DDBBD96" w:rsidR="0052664C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Fiscalizar o cumprimento das Diretrizes de Governança da Companhia e verificar se</w:t>
      </w:r>
      <w:r w:rsidR="0052664C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</w:t>
      </w:r>
      <w:r w:rsidR="00E844AC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stas estão sendo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observadas.</w:t>
      </w:r>
    </w:p>
    <w:p w14:paraId="1E6425F6" w14:textId="24099C16" w:rsidR="0041565E" w:rsidRPr="00473774" w:rsidRDefault="0041565E" w:rsidP="0041565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lastRenderedPageBreak/>
        <w:t>Exercer, de tempos em tempos, quaisquer outras atribuições ou responsabilidades expressamente delegadas ao Comitê pelo</w:t>
      </w:r>
      <w:r w:rsidR="00E80A7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Conselho de Administração </w:t>
      </w:r>
      <w:r w:rsidR="00E80A7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relacionadas aos princípios de</w:t>
      </w:r>
      <w:r w:rsidR="0052664C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Governança Corporativa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</w:t>
      </w:r>
    </w:p>
    <w:p w14:paraId="4DF806E8" w14:textId="77777777" w:rsidR="0052664C" w:rsidRPr="00473774" w:rsidRDefault="0052664C" w:rsidP="0052664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111EFE" w14:textId="3F2DDE07" w:rsidR="0041565E" w:rsidRPr="00473774" w:rsidRDefault="0041565E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pt"/>
        </w:rPr>
        <w:t>4. Avaliação de desempenho</w:t>
      </w:r>
    </w:p>
    <w:p w14:paraId="5DAB9406" w14:textId="77777777" w:rsidR="0052664C" w:rsidRPr="00473774" w:rsidRDefault="0052664C" w:rsidP="0041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6B5B269" w14:textId="3567CBDA" w:rsidR="004B1913" w:rsidRPr="00473774" w:rsidRDefault="0041565E" w:rsidP="00526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O Comitê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de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Nomeação</w:t>
      </w:r>
      <w:r w:rsidR="00E80A7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e Governança</w:t>
      </w:r>
      <w:r w:rsidR="00E80A77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produzirá e fornecerá ao Conselho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Administração uma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avaliação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anual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desempenho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do Comitê, </w:t>
      </w:r>
      <w:r w:rsidR="005D034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 qual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comparará o desempenho </w:t>
      </w:r>
      <w:r w:rsidR="005D034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d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Comitê de Nomeação e Governança com os requisitos estabelecidos  neste </w:t>
      </w:r>
      <w:r w:rsidR="002B5B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Regimento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. A avaliação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do desempenho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incluirá igualmente a revisão 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</w:t>
      </w:r>
      <w:r w:rsidR="005D034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reavaliação da adequação d</w:t>
      </w:r>
      <w:r w:rsidR="005D034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presente</w:t>
      </w:r>
      <w:r w:rsidR="002B5BA6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Regimento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e, caso o Comit</w:t>
      </w:r>
      <w:r w:rsidR="006545B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ê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considere necessário ou desejável introduzir quaisquer alterações </w:t>
      </w:r>
      <w:r w:rsidR="002B5BA6"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este Regimento, recomendará ao Conselho de Administração. A avaliação</w:t>
      </w:r>
      <w:r w:rsidRPr="00473774">
        <w:rPr>
          <w:rFonts w:ascii="Times New Roman" w:hAnsi="Times New Roman" w:cs="Times New Roman"/>
          <w:sz w:val="24"/>
          <w:szCs w:val="24"/>
          <w:lang w:val="pt"/>
        </w:rPr>
        <w:t xml:space="preserve"> de desempenho</w:t>
      </w:r>
      <w:r w:rsidRPr="00473774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 xml:space="preserve"> será submetida ao Conselho de Administração 60 (sessenta) dias após o término do </w:t>
      </w:r>
      <w:r w:rsidR="006545BE">
        <w:rPr>
          <w:rFonts w:ascii="Times New Roman" w:hAnsi="Times New Roman" w:cs="Times New Roman"/>
          <w:color w:val="000000"/>
          <w:kern w:val="0"/>
          <w:sz w:val="24"/>
          <w:szCs w:val="24"/>
          <w:lang w:val="pt"/>
        </w:rPr>
        <w:t>ano fiscal.</w:t>
      </w:r>
    </w:p>
    <w:sectPr w:rsidR="004B1913" w:rsidRPr="0047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936"/>
    <w:multiLevelType w:val="hybridMultilevel"/>
    <w:tmpl w:val="7570A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7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5E"/>
    <w:rsid w:val="00052E18"/>
    <w:rsid w:val="00095FBD"/>
    <w:rsid w:val="000B1A30"/>
    <w:rsid w:val="000C5198"/>
    <w:rsid w:val="000E609F"/>
    <w:rsid w:val="00105F85"/>
    <w:rsid w:val="0010624A"/>
    <w:rsid w:val="00126E55"/>
    <w:rsid w:val="00143508"/>
    <w:rsid w:val="00151054"/>
    <w:rsid w:val="0015420D"/>
    <w:rsid w:val="001625AF"/>
    <w:rsid w:val="00163243"/>
    <w:rsid w:val="001670D2"/>
    <w:rsid w:val="001B4754"/>
    <w:rsid w:val="001C2917"/>
    <w:rsid w:val="001C4E38"/>
    <w:rsid w:val="00263BB4"/>
    <w:rsid w:val="002752F9"/>
    <w:rsid w:val="00292AC4"/>
    <w:rsid w:val="002B5BA6"/>
    <w:rsid w:val="00303D34"/>
    <w:rsid w:val="0031422A"/>
    <w:rsid w:val="00321273"/>
    <w:rsid w:val="00367687"/>
    <w:rsid w:val="003B2F2E"/>
    <w:rsid w:val="003E1D6F"/>
    <w:rsid w:val="0040103F"/>
    <w:rsid w:val="00402682"/>
    <w:rsid w:val="00412A69"/>
    <w:rsid w:val="00413A4E"/>
    <w:rsid w:val="0041565E"/>
    <w:rsid w:val="0042453B"/>
    <w:rsid w:val="004424E2"/>
    <w:rsid w:val="00443357"/>
    <w:rsid w:val="00473774"/>
    <w:rsid w:val="0047534F"/>
    <w:rsid w:val="004A453F"/>
    <w:rsid w:val="004B1913"/>
    <w:rsid w:val="004E286A"/>
    <w:rsid w:val="004E49E1"/>
    <w:rsid w:val="00507703"/>
    <w:rsid w:val="0052664C"/>
    <w:rsid w:val="00546253"/>
    <w:rsid w:val="005937D1"/>
    <w:rsid w:val="005A3719"/>
    <w:rsid w:val="005B0D9B"/>
    <w:rsid w:val="005B597B"/>
    <w:rsid w:val="005D0346"/>
    <w:rsid w:val="005D5713"/>
    <w:rsid w:val="005F7A1D"/>
    <w:rsid w:val="00623CB8"/>
    <w:rsid w:val="006425F0"/>
    <w:rsid w:val="006545BE"/>
    <w:rsid w:val="00657246"/>
    <w:rsid w:val="00660EEF"/>
    <w:rsid w:val="006774F4"/>
    <w:rsid w:val="006C02D0"/>
    <w:rsid w:val="006C0ED6"/>
    <w:rsid w:val="006C2DEA"/>
    <w:rsid w:val="006D1BAB"/>
    <w:rsid w:val="006E744D"/>
    <w:rsid w:val="007217CB"/>
    <w:rsid w:val="00725C80"/>
    <w:rsid w:val="0075552F"/>
    <w:rsid w:val="00756559"/>
    <w:rsid w:val="00762865"/>
    <w:rsid w:val="00763504"/>
    <w:rsid w:val="0076618B"/>
    <w:rsid w:val="00783DAB"/>
    <w:rsid w:val="007A59F8"/>
    <w:rsid w:val="007C02E6"/>
    <w:rsid w:val="007E2902"/>
    <w:rsid w:val="0081309F"/>
    <w:rsid w:val="00850287"/>
    <w:rsid w:val="008711B0"/>
    <w:rsid w:val="00875482"/>
    <w:rsid w:val="008B63F3"/>
    <w:rsid w:val="008E196E"/>
    <w:rsid w:val="009354D5"/>
    <w:rsid w:val="00955C84"/>
    <w:rsid w:val="009809FB"/>
    <w:rsid w:val="00991963"/>
    <w:rsid w:val="009C5A32"/>
    <w:rsid w:val="009D4EB6"/>
    <w:rsid w:val="009D5E6C"/>
    <w:rsid w:val="00A02FD6"/>
    <w:rsid w:val="00A253A7"/>
    <w:rsid w:val="00A65104"/>
    <w:rsid w:val="00A65EAA"/>
    <w:rsid w:val="00A7254A"/>
    <w:rsid w:val="00A96DA2"/>
    <w:rsid w:val="00AE2BD7"/>
    <w:rsid w:val="00AF1C90"/>
    <w:rsid w:val="00B55E1E"/>
    <w:rsid w:val="00BC326D"/>
    <w:rsid w:val="00C81B59"/>
    <w:rsid w:val="00CB73FB"/>
    <w:rsid w:val="00CB7CE9"/>
    <w:rsid w:val="00CC5A13"/>
    <w:rsid w:val="00D04AA4"/>
    <w:rsid w:val="00D51170"/>
    <w:rsid w:val="00D67CB8"/>
    <w:rsid w:val="00D82D37"/>
    <w:rsid w:val="00D9678D"/>
    <w:rsid w:val="00DB6084"/>
    <w:rsid w:val="00DD4446"/>
    <w:rsid w:val="00DF264F"/>
    <w:rsid w:val="00DF2B5C"/>
    <w:rsid w:val="00DF727D"/>
    <w:rsid w:val="00E15A67"/>
    <w:rsid w:val="00E2615D"/>
    <w:rsid w:val="00E33574"/>
    <w:rsid w:val="00E57BB3"/>
    <w:rsid w:val="00E80A77"/>
    <w:rsid w:val="00E839A6"/>
    <w:rsid w:val="00E844AC"/>
    <w:rsid w:val="00E90C6B"/>
    <w:rsid w:val="00EB3BA8"/>
    <w:rsid w:val="00EC42A6"/>
    <w:rsid w:val="00EF60C6"/>
    <w:rsid w:val="00F36BEE"/>
    <w:rsid w:val="00F76207"/>
    <w:rsid w:val="00F8782D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B780"/>
  <w15:chartTrackingRefBased/>
  <w15:docId w15:val="{9FDE0C08-F8AF-40F6-8A2F-E7E9C0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65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711B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9919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19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19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19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1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Rafaella Zabini</dc:creator>
  <cp:keywords/>
  <dc:description/>
  <cp:lastModifiedBy>Amarante Rafaela Gomes</cp:lastModifiedBy>
  <cp:revision>5</cp:revision>
  <dcterms:created xsi:type="dcterms:W3CDTF">2023-06-29T14:21:00Z</dcterms:created>
  <dcterms:modified xsi:type="dcterms:W3CDTF">2023-06-29T14:24:00Z</dcterms:modified>
  <cp:category/>
</cp:coreProperties>
</file>